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7AB" w:rsidRDefault="009807AB" w:rsidP="00FB12E3"/>
    <w:p w:rsidR="006A3B6C" w:rsidRDefault="006A3B6C" w:rsidP="006A3B6C">
      <w:pPr>
        <w:spacing w:after="120" w:line="240" w:lineRule="auto"/>
        <w:jc w:val="both"/>
        <w:rPr>
          <w:rFonts w:ascii="Arial" w:eastAsia="Times New Roman" w:hAnsi="Arial" w:cs="Arial"/>
          <w:b/>
          <w:sz w:val="24"/>
          <w:szCs w:val="24"/>
        </w:rPr>
      </w:pPr>
    </w:p>
    <w:p w:rsidR="006A3B6C" w:rsidRDefault="00000BEF" w:rsidP="006A3B6C">
      <w:pPr>
        <w:spacing w:after="120" w:line="240" w:lineRule="auto"/>
        <w:jc w:val="both"/>
        <w:rPr>
          <w:rFonts w:ascii="Arial" w:eastAsia="Times New Roman" w:hAnsi="Arial" w:cs="Arial"/>
          <w:b/>
          <w:sz w:val="24"/>
          <w:szCs w:val="24"/>
        </w:rPr>
      </w:pPr>
      <w:r>
        <w:rPr>
          <w:rFonts w:ascii="Arial" w:eastAsia="Times New Roman" w:hAnsi="Arial" w:cs="Arial"/>
          <w:b/>
          <w:sz w:val="24"/>
          <w:szCs w:val="24"/>
        </w:rPr>
        <w:t>Anexa 1</w:t>
      </w:r>
      <w:r w:rsidR="00C358A1">
        <w:rPr>
          <w:rFonts w:ascii="Arial" w:eastAsia="Times New Roman" w:hAnsi="Arial" w:cs="Arial"/>
          <w:b/>
          <w:sz w:val="24"/>
          <w:szCs w:val="24"/>
        </w:rPr>
        <w:t>3</w:t>
      </w:r>
      <w:bookmarkStart w:id="0" w:name="_GoBack"/>
      <w:bookmarkEnd w:id="0"/>
      <w:r w:rsidR="006E3D61">
        <w:rPr>
          <w:rFonts w:ascii="Arial" w:eastAsia="Times New Roman" w:hAnsi="Arial" w:cs="Arial"/>
          <w:b/>
          <w:sz w:val="24"/>
          <w:szCs w:val="24"/>
        </w:rPr>
        <w:t>.6</w:t>
      </w:r>
      <w:r w:rsidR="006A3B6C">
        <w:rPr>
          <w:rFonts w:ascii="Arial" w:eastAsia="Times New Roman" w:hAnsi="Arial" w:cs="Arial"/>
          <w:b/>
          <w:sz w:val="24"/>
          <w:szCs w:val="24"/>
        </w:rPr>
        <w:t xml:space="preserve"> –Indicatori de monitorizare ai Strategiei Integrate de Dezvoltare Durabila a Deltei Dunarii </w:t>
      </w:r>
    </w:p>
    <w:p w:rsidR="006A3B6C" w:rsidRPr="007D6311" w:rsidRDefault="006A3B6C" w:rsidP="006A3B6C">
      <w:pPr>
        <w:spacing w:after="120" w:line="240" w:lineRule="auto"/>
        <w:jc w:val="both"/>
        <w:rPr>
          <w:rFonts w:ascii="Arial" w:eastAsiaTheme="minorHAnsi" w:hAnsi="Arial" w:cs="Arial"/>
          <w:b/>
          <w:bCs/>
          <w:iCs/>
        </w:rPr>
      </w:pPr>
      <w:r w:rsidRPr="007D6311">
        <w:rPr>
          <w:rFonts w:ascii="Arial" w:eastAsia="Times New Roman" w:hAnsi="Arial" w:cs="Arial"/>
          <w:b/>
        </w:rPr>
        <w:t xml:space="preserve">Conform SIDDDD -  Tabel 54 –Indicatori de monitorizare –Cap </w:t>
      </w:r>
      <w:r w:rsidRPr="007D6311">
        <w:rPr>
          <w:rFonts w:ascii="Arial" w:hAnsi="Arial" w:cs="Arial"/>
          <w:b/>
          <w:bCs/>
          <w:iCs/>
        </w:rPr>
        <w:t>VII.4 Indicatori de monitorizare a obiectivelor pe sectoare prioritare</w:t>
      </w:r>
    </w:p>
    <w:p w:rsidR="006A3B6C" w:rsidRPr="006A3B6C" w:rsidRDefault="006A3B6C" w:rsidP="006A3B6C">
      <w:pPr>
        <w:autoSpaceDE w:val="0"/>
        <w:autoSpaceDN w:val="0"/>
        <w:adjustRightInd w:val="0"/>
        <w:spacing w:after="0" w:line="240" w:lineRule="auto"/>
        <w:rPr>
          <w:rFonts w:ascii="Arial" w:hAnsi="Arial" w:cs="Arial"/>
          <w:b/>
          <w:bCs/>
          <w:sz w:val="24"/>
          <w:szCs w:val="24"/>
        </w:rPr>
      </w:pPr>
    </w:p>
    <w:p w:rsidR="006A3B6C" w:rsidRDefault="006A3B6C" w:rsidP="006A3B6C">
      <w:pPr>
        <w:autoSpaceDE w:val="0"/>
        <w:autoSpaceDN w:val="0"/>
        <w:adjustRightInd w:val="0"/>
        <w:spacing w:after="0" w:line="240" w:lineRule="auto"/>
        <w:rPr>
          <w:rFonts w:ascii="Calibri,Bold" w:hAnsi="Calibri,Bold" w:cs="Calibri,Bold"/>
          <w:b/>
          <w:bCs/>
          <w:color w:val="215868"/>
          <w:sz w:val="24"/>
          <w:szCs w:val="24"/>
        </w:rPr>
      </w:pPr>
    </w:p>
    <w:p w:rsidR="006A3B6C" w:rsidRPr="00F02455" w:rsidRDefault="006A3B6C" w:rsidP="006A3B6C">
      <w:pPr>
        <w:autoSpaceDE w:val="0"/>
        <w:autoSpaceDN w:val="0"/>
        <w:adjustRightInd w:val="0"/>
        <w:spacing w:after="0" w:line="240" w:lineRule="auto"/>
        <w:rPr>
          <w:rFonts w:ascii="Arial" w:hAnsi="Arial" w:cs="Arial"/>
          <w:b/>
          <w:bCs/>
          <w:color w:val="215868"/>
          <w:sz w:val="24"/>
          <w:szCs w:val="24"/>
        </w:rPr>
      </w:pPr>
      <w:r w:rsidRPr="00F02455">
        <w:rPr>
          <w:rFonts w:ascii="Arial" w:hAnsi="Arial" w:cs="Arial"/>
          <w:b/>
          <w:bCs/>
          <w:color w:val="215868"/>
          <w:sz w:val="24"/>
          <w:szCs w:val="24"/>
        </w:rPr>
        <w:t>Pilonul I: Protejarea mediului și resurselor naturale</w:t>
      </w:r>
    </w:p>
    <w:p w:rsidR="006A3B6C" w:rsidRDefault="006A3B6C" w:rsidP="006A3B6C">
      <w:pPr>
        <w:autoSpaceDE w:val="0"/>
        <w:autoSpaceDN w:val="0"/>
        <w:adjustRightInd w:val="0"/>
        <w:spacing w:after="0" w:line="240" w:lineRule="auto"/>
        <w:rPr>
          <w:rFonts w:ascii="Calibri,Bold" w:hAnsi="Calibri,Bold" w:cs="Calibri,Bold"/>
          <w:b/>
          <w:bCs/>
          <w:color w:val="215868"/>
          <w:sz w:val="24"/>
          <w:szCs w:val="24"/>
        </w:rPr>
      </w:pPr>
    </w:p>
    <w:p w:rsidR="006A3B6C" w:rsidRPr="006A3B6C" w:rsidRDefault="006A3B6C" w:rsidP="006A3B6C">
      <w:pPr>
        <w:pStyle w:val="Listparagraf"/>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Biodiversitate și managementul ecosistemelor</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Plan de Management al Rezervaţiei Biosferei Delta Dunării aprobat şi după caz, actualizat în perioada de implementare a strategiei</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seturi de măsuri și acțiuni ale Rezervaţiei Biosferei Delta Dunării bazate pe date de monitorizare larg acceptate și pe modele hidrologice, de sedimentare și demografice de ultimă oră, demarate şi implementate</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Suprafața habitatelor sprijinite în vederea obținerii unui stadiu de conservare mai bun</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populațiilor de specii de pește valoroase din punct de vedere economic</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obiective de infrastructură esențială și obiective de interes economic din cadrul RBDD protejate împotriva inundațiilor</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măsuri/Iniţiative de actualizare a cadrului legislativ și de reglementare pentru managementul și utilizarea RBDD și a resurselor acesteia actualizate pentru a sprijini obiectivele participării sporite a comunității și stimulentele pentru protejare și refacere ecologică</w:t>
      </w:r>
    </w:p>
    <w:p w:rsid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instituții și cercetători locali și internaționali implicaţi în programul diversificat de cercetare, recunoscut internațional, privind sistemele și resursele naturale și culturale ale DD</w:t>
      </w:r>
    </w:p>
    <w:p w:rsidR="004D2663" w:rsidRPr="006A3B6C" w:rsidRDefault="004D2663" w:rsidP="004D2663">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Eficiență energetică</w:t>
      </w:r>
    </w:p>
    <w:p w:rsidR="006A3B6C" w:rsidRPr="006A3B6C" w:rsidRDefault="006A3B6C" w:rsidP="006A3B6C">
      <w:pPr>
        <w:pStyle w:val="Listparagraf"/>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de clădiri publice renovate și consumul de energie finală în clădirile publice</w:t>
      </w:r>
    </w:p>
    <w:p w:rsidR="006A3B6C" w:rsidRPr="006A3B6C" w:rsidRDefault="006A3B6C" w:rsidP="006A3B6C">
      <w:pPr>
        <w:pStyle w:val="Listparagraf"/>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clădiri rezidențiale renovate și consumul de energie finală în sectorul rezidențial</w:t>
      </w:r>
    </w:p>
    <w:p w:rsidR="006A3B6C" w:rsidRPr="006A3B6C" w:rsidRDefault="006A3B6C" w:rsidP="006A3B6C">
      <w:pPr>
        <w:pStyle w:val="Listparagraf"/>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Lungimea reţelei termice reabilitate / extinse</w:t>
      </w:r>
    </w:p>
    <w:p w:rsidR="006A3B6C" w:rsidRDefault="006A3B6C" w:rsidP="006A3B6C">
      <w:pPr>
        <w:pStyle w:val="Listparagraf"/>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utilizatori suplimentari de energie conectați la rețele inteligente</w:t>
      </w:r>
    </w:p>
    <w:p w:rsidR="004D2663" w:rsidRPr="006A3B6C" w:rsidRDefault="004D2663" w:rsidP="004D2663">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Schimbări climatice</w:t>
      </w:r>
    </w:p>
    <w:p w:rsidR="006A3B6C" w:rsidRPr="006A3B6C" w:rsidRDefault="006A3B6C" w:rsidP="006A3B6C">
      <w:pPr>
        <w:pStyle w:val="Listparagraf"/>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Nivelul estimat al emisiilor de gaze cu efect de seră</w:t>
      </w:r>
    </w:p>
    <w:p w:rsidR="006A3B6C" w:rsidRPr="006A3B6C" w:rsidRDefault="006A3B6C" w:rsidP="006A3B6C">
      <w:pPr>
        <w:pStyle w:val="Listparagraf"/>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Producţia brută de energie primară din surse regenerabile mai puţin exploatate</w:t>
      </w:r>
    </w:p>
    <w:p w:rsidR="006A3B6C" w:rsidRPr="006A3B6C" w:rsidRDefault="006A3B6C" w:rsidP="006A3B6C">
      <w:pPr>
        <w:pStyle w:val="Listparagraf"/>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Nivelul de investiție în măsurile de adaptare la schimbările climatice</w:t>
      </w:r>
    </w:p>
    <w:p w:rsidR="006A3B6C" w:rsidRPr="006A3B6C" w:rsidRDefault="006A3B6C" w:rsidP="006A3B6C">
      <w:pPr>
        <w:pStyle w:val="Listparagraf"/>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gospodăriilor cu o clasificare mai bună a consumului de energie</w:t>
      </w:r>
    </w:p>
    <w:p w:rsidR="006A3B6C" w:rsidRDefault="006A3B6C" w:rsidP="006A3B6C">
      <w:pPr>
        <w:pStyle w:val="Listparagraf"/>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Evoluția consumului anual de energie primară în clădirile publice</w:t>
      </w:r>
    </w:p>
    <w:p w:rsidR="004D2663" w:rsidRPr="006A3B6C" w:rsidRDefault="004D2663" w:rsidP="004D2663">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Managementul riscului în caz de dezastre</w:t>
      </w:r>
    </w:p>
    <w:p w:rsidR="006A3B6C" w:rsidRPr="006A3B6C" w:rsidRDefault="006A3B6C" w:rsidP="006A3B6C">
      <w:pPr>
        <w:pStyle w:val="Listparagraf"/>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care beneficiază de măsuri de protecție împotriva inundațiilor</w:t>
      </w:r>
    </w:p>
    <w:p w:rsidR="006A3B6C" w:rsidRPr="006A3B6C" w:rsidRDefault="006A3B6C" w:rsidP="006A3B6C">
      <w:pPr>
        <w:pStyle w:val="Listparagraf"/>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exerciții cu intervenție de urgență în caz de dezastru (anual)</w:t>
      </w:r>
    </w:p>
    <w:p w:rsidR="006A3B6C" w:rsidRPr="006A3B6C" w:rsidRDefault="006A3B6C" w:rsidP="006A3B6C">
      <w:pPr>
        <w:pStyle w:val="Listparagraf"/>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Timpul mediu de răspuns la situaţii de urgenţă</w:t>
      </w:r>
    </w:p>
    <w:p w:rsidR="006A3B6C" w:rsidRPr="006A3B6C" w:rsidRDefault="006A3B6C" w:rsidP="006A3B6C">
      <w:pPr>
        <w:pStyle w:val="Listparagraf"/>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Inventar cu deșeuri periculoase și sistem de management al informațiilor existente (da sau nu)</w:t>
      </w:r>
    </w:p>
    <w:p w:rsidR="006A3B6C" w:rsidRDefault="006A3B6C" w:rsidP="006A3B6C">
      <w:pPr>
        <w:pStyle w:val="Listparagraf"/>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planuri de intervenție disponibile</w:t>
      </w:r>
    </w:p>
    <w:p w:rsidR="004D2663" w:rsidRPr="006A3B6C" w:rsidRDefault="004D2663" w:rsidP="004D2663">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Situații de urgență asociate riscurilor de poluare</w:t>
      </w:r>
    </w:p>
    <w:p w:rsidR="006A3B6C" w:rsidRPr="006A3B6C" w:rsidRDefault="006A3B6C" w:rsidP="006A3B6C">
      <w:pPr>
        <w:pStyle w:val="Listparagraf"/>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incidente de poluare în regiunea DD (anual)</w:t>
      </w:r>
    </w:p>
    <w:p w:rsidR="006A3B6C" w:rsidRPr="006A3B6C" w:rsidRDefault="006A3B6C" w:rsidP="006A3B6C">
      <w:pPr>
        <w:pStyle w:val="Listparagraf"/>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exerciții cu intervenție de urgență în caz de poluare (anual)</w:t>
      </w:r>
    </w:p>
    <w:p w:rsidR="006A3B6C" w:rsidRPr="006A3B6C" w:rsidRDefault="006A3B6C" w:rsidP="006A3B6C">
      <w:pPr>
        <w:pStyle w:val="Listparagraf"/>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Durata medie pentru a opri incidentele de poluare (zile)</w:t>
      </w:r>
    </w:p>
    <w:p w:rsidR="006A3B6C" w:rsidRPr="006A3B6C" w:rsidRDefault="006A3B6C" w:rsidP="006A3B6C">
      <w:pPr>
        <w:pStyle w:val="Listparagraf"/>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planuri de prevenire a poluării disponibile</w:t>
      </w:r>
    </w:p>
    <w:p w:rsidR="00881694" w:rsidRDefault="00881694" w:rsidP="006A3B6C">
      <w:pPr>
        <w:autoSpaceDE w:val="0"/>
        <w:autoSpaceDN w:val="0"/>
        <w:adjustRightInd w:val="0"/>
        <w:spacing w:after="0" w:line="240" w:lineRule="auto"/>
        <w:rPr>
          <w:rFonts w:ascii="Arial" w:hAnsi="Arial" w:cs="Arial"/>
          <w:b/>
          <w:bCs/>
          <w:color w:val="215868"/>
          <w:sz w:val="24"/>
          <w:szCs w:val="24"/>
        </w:rPr>
      </w:pPr>
    </w:p>
    <w:p w:rsidR="00881694" w:rsidRDefault="00881694" w:rsidP="006A3B6C">
      <w:pPr>
        <w:autoSpaceDE w:val="0"/>
        <w:autoSpaceDN w:val="0"/>
        <w:adjustRightInd w:val="0"/>
        <w:spacing w:after="0" w:line="240" w:lineRule="auto"/>
        <w:rPr>
          <w:rFonts w:ascii="Arial" w:hAnsi="Arial" w:cs="Arial"/>
          <w:b/>
          <w:bCs/>
          <w:color w:val="215868"/>
          <w:sz w:val="24"/>
          <w:szCs w:val="24"/>
        </w:rPr>
      </w:pPr>
    </w:p>
    <w:p w:rsidR="006A3B6C" w:rsidRPr="00F02455" w:rsidRDefault="006A3B6C" w:rsidP="006A3B6C">
      <w:pPr>
        <w:autoSpaceDE w:val="0"/>
        <w:autoSpaceDN w:val="0"/>
        <w:adjustRightInd w:val="0"/>
        <w:spacing w:after="0" w:line="240" w:lineRule="auto"/>
        <w:rPr>
          <w:rFonts w:ascii="Arial" w:hAnsi="Arial" w:cs="Arial"/>
          <w:b/>
          <w:bCs/>
          <w:color w:val="215868"/>
          <w:sz w:val="24"/>
          <w:szCs w:val="24"/>
        </w:rPr>
      </w:pPr>
      <w:r w:rsidRPr="00F02455">
        <w:rPr>
          <w:rFonts w:ascii="Arial" w:hAnsi="Arial" w:cs="Arial"/>
          <w:b/>
          <w:bCs/>
          <w:color w:val="215868"/>
          <w:sz w:val="24"/>
          <w:szCs w:val="24"/>
        </w:rPr>
        <w:lastRenderedPageBreak/>
        <w:t>Pilonul II: Îmbunătățirea economiei</w:t>
      </w:r>
    </w:p>
    <w:p w:rsidR="00EA5147" w:rsidRPr="006A3B6C" w:rsidRDefault="00EA5147" w:rsidP="006A3B6C">
      <w:pPr>
        <w:autoSpaceDE w:val="0"/>
        <w:autoSpaceDN w:val="0"/>
        <w:adjustRightInd w:val="0"/>
        <w:spacing w:after="0" w:line="240" w:lineRule="auto"/>
        <w:rPr>
          <w:rFonts w:ascii="Arial" w:hAnsi="Arial" w:cs="Arial"/>
          <w:b/>
          <w:bCs/>
          <w:color w:val="215868"/>
        </w:rPr>
      </w:pPr>
    </w:p>
    <w:p w:rsidR="006A3B6C" w:rsidRPr="006A3B6C" w:rsidRDefault="006A3B6C" w:rsidP="006A3B6C">
      <w:pPr>
        <w:pStyle w:val="Listparagraf"/>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Turism</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Sosiri ale turiștilor pe lună (distribuție pe an)</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permise de intrare în RBDD</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ambarcațiuni disponibile pentru turiști la principalele puncte de ieșire și puncte nodale (rute monitorizate)</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Ratele de ocupare pentru cazările autorizate / oficiale</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Cheltuielile medii pe un turist într-un sejur</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Durata medie a sejurului (nopți))</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structurilor de cazare turistice deschise tot anul (%)</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și pondere din locurile de muncă în turism (locurile de muncă permanente vs. temporare)</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satisfacție a vizitatorilor privind serviciile turistice</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Percepția raportului calitate/preț</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în care vizitatorii revin (%)</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ocupați în turism (locuri de muncă directe și indirecte, raportul dintre locurile de muncă în turism și totalul locurilor de muncă)</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Venituri generate de turism raportate la veniturile totale generate în economia locală (%)</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case tradiționale menținute/ reabilitate incluse in circuitul turistic</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satisfacție a locuitorilor privind dezvoltarea turismului în zonă (%)</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Proporția produselor si serviciilor locale din totalul produselor si serviciilor</w:t>
      </w:r>
    </w:p>
    <w:p w:rsid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Raportul dintre rezidenții și nerezidenții ce dețin terenuri / imobile în DD</w:t>
      </w:r>
    </w:p>
    <w:p w:rsidR="007D6311" w:rsidRPr="006A3B6C" w:rsidRDefault="007D6311" w:rsidP="007D6311">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Pescuit și acvacultură</w:t>
      </w:r>
    </w:p>
    <w:p w:rsidR="006A3B6C" w:rsidRPr="006A3B6C" w:rsidRDefault="006A3B6C" w:rsidP="006A3B6C">
      <w:pPr>
        <w:pStyle w:val="Listparagraf"/>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locurilor de muncă din domeniul pescăresc pe activități specifice</w:t>
      </w:r>
    </w:p>
    <w:p w:rsidR="006A3B6C" w:rsidRPr="006A3B6C" w:rsidRDefault="006A3B6C" w:rsidP="006A3B6C">
      <w:pPr>
        <w:pStyle w:val="Listparagraf"/>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Mărimea populațiilor de specii de pești răpitori</w:t>
      </w:r>
    </w:p>
    <w:p w:rsidR="006A3B6C" w:rsidRPr="006A3B6C" w:rsidRDefault="006A3B6C" w:rsidP="006A3B6C">
      <w:pPr>
        <w:pStyle w:val="Listparagraf"/>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Dinamica populației de caras</w:t>
      </w:r>
    </w:p>
    <w:p w:rsidR="006A3B6C" w:rsidRDefault="006A3B6C" w:rsidP="006A3B6C">
      <w:pPr>
        <w:pStyle w:val="Listparagraf"/>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investiții/proiecte în acvacultură</w:t>
      </w:r>
    </w:p>
    <w:p w:rsidR="007D6311" w:rsidRPr="006A3B6C" w:rsidRDefault="007D6311" w:rsidP="007D6311">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Agricultură și dezvoltare rurală</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fermieri/asociații cu acces la rețele de promovare</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paticipanți la programe de educație / formare profesională</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infrastructurii de irigații reabilitate din totalul infrastructurii de irigații viabile (%)</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Suprafața de teren neproductiv împădurit</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intervenții de protecție împotriva inundațiilor</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teren acordat fermierilor din totalul terenului public disponibil</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fermieri care au intrat într-o schemă pentru micii fermieri</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fermieri care au deschis o activitate non-agicolă</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inițiative/proiecte care valorifică patrimoniul cultural al zonei</w:t>
      </w:r>
    </w:p>
    <w:p w:rsid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din infrastructura comunală și sătească modernizată</w:t>
      </w:r>
    </w:p>
    <w:p w:rsidR="007D6311" w:rsidRDefault="007D6311" w:rsidP="007D6311">
      <w:pPr>
        <w:pStyle w:val="Listparagraf"/>
        <w:autoSpaceDE w:val="0"/>
        <w:autoSpaceDN w:val="0"/>
        <w:adjustRightInd w:val="0"/>
        <w:spacing w:after="0" w:line="240" w:lineRule="auto"/>
        <w:ind w:left="1068"/>
        <w:rPr>
          <w:rFonts w:ascii="Arial" w:hAnsi="Arial" w:cs="Arial"/>
          <w:color w:val="000000"/>
        </w:rPr>
      </w:pPr>
    </w:p>
    <w:p w:rsidR="006A3B6C" w:rsidRPr="006504E7" w:rsidRDefault="006A3B6C" w:rsidP="006A3B6C">
      <w:pPr>
        <w:autoSpaceDE w:val="0"/>
        <w:autoSpaceDN w:val="0"/>
        <w:adjustRightInd w:val="0"/>
        <w:spacing w:after="0" w:line="240" w:lineRule="auto"/>
        <w:rPr>
          <w:rFonts w:ascii="Arial" w:hAnsi="Arial" w:cs="Arial"/>
          <w:b/>
          <w:bCs/>
          <w:color w:val="215868"/>
          <w:sz w:val="24"/>
          <w:szCs w:val="24"/>
        </w:rPr>
      </w:pPr>
      <w:r w:rsidRPr="006504E7">
        <w:rPr>
          <w:rFonts w:ascii="Arial" w:hAnsi="Arial" w:cs="Arial"/>
          <w:b/>
          <w:bCs/>
          <w:color w:val="215868"/>
          <w:sz w:val="24"/>
          <w:szCs w:val="24"/>
        </w:rPr>
        <w:t>Pilonul III: Îmbunătățirea conectivității</w:t>
      </w:r>
    </w:p>
    <w:p w:rsidR="007D6311" w:rsidRPr="006504E7" w:rsidRDefault="007D6311" w:rsidP="006A3B6C">
      <w:pPr>
        <w:autoSpaceDE w:val="0"/>
        <w:autoSpaceDN w:val="0"/>
        <w:adjustRightInd w:val="0"/>
        <w:spacing w:after="0" w:line="240" w:lineRule="auto"/>
        <w:rPr>
          <w:rFonts w:ascii="Arial" w:hAnsi="Arial" w:cs="Arial"/>
          <w:b/>
          <w:bCs/>
          <w:color w:val="215868"/>
          <w:sz w:val="24"/>
          <w:szCs w:val="24"/>
        </w:rPr>
      </w:pPr>
    </w:p>
    <w:p w:rsidR="006A3B6C" w:rsidRPr="006A3B6C" w:rsidRDefault="006A3B6C" w:rsidP="006A3B6C">
      <w:pPr>
        <w:pStyle w:val="Listparagraf"/>
        <w:numPr>
          <w:ilvl w:val="0"/>
          <w:numId w:val="2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Transport</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Durată de călătorie între Tulcea și municipiile Constanța, Brăila, Galați</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Volum de mărfuri transportate pe căi navigabile interioare</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Volum de mărfuri containerizat manipulat în unităţi de transport intermodal</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pasageri îmbarcaţi şi debarcaţi în transportul aeroportuar</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Durată de călătorie între toate localitățile și municipiile reședință de județ</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intervenții privind accesul îmbunătățit la principalele servicii pe timpul iernii</w:t>
      </w:r>
    </w:p>
    <w:p w:rsid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de ambarcațiuni publice și private puse la dispoziția călătorilor</w:t>
      </w:r>
    </w:p>
    <w:p w:rsidR="0005576D" w:rsidRPr="006A3B6C" w:rsidRDefault="0005576D" w:rsidP="0005576D">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2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Tehnologia informației și comunicațiilor</w:t>
      </w:r>
    </w:p>
    <w:p w:rsidR="006A3B6C" w:rsidRP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utilizare cu regularitate a internetului de către populația zonei</w:t>
      </w:r>
    </w:p>
    <w:p w:rsidR="006A3B6C" w:rsidRP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Acoperire/disponibilitate în bandă largă NGA</w:t>
      </w:r>
    </w:p>
    <w:p w:rsidR="006A3B6C" w:rsidRP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care utilizează sistemele e-guvernare</w:t>
      </w:r>
    </w:p>
    <w:p w:rsidR="006A3B6C" w:rsidRP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școli care utilizează OER, WEB 2.0 în educație</w:t>
      </w:r>
    </w:p>
    <w:p w:rsidR="006A3B6C" w:rsidRP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unități prespitalicești și spitalicești care utilizează sisteme de telemedicină</w:t>
      </w:r>
    </w:p>
    <w:p w:rsid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puncte de acces public la informații (PAPI) nou înființate</w:t>
      </w:r>
    </w:p>
    <w:p w:rsidR="0005576D" w:rsidRPr="006A3B6C" w:rsidRDefault="0005576D" w:rsidP="0005576D">
      <w:pPr>
        <w:pStyle w:val="Listparagraf"/>
        <w:autoSpaceDE w:val="0"/>
        <w:autoSpaceDN w:val="0"/>
        <w:adjustRightInd w:val="0"/>
        <w:spacing w:after="0" w:line="240" w:lineRule="auto"/>
        <w:ind w:left="1068"/>
        <w:rPr>
          <w:rFonts w:ascii="Arial" w:hAnsi="Arial" w:cs="Arial"/>
          <w:color w:val="000000"/>
        </w:rPr>
      </w:pPr>
    </w:p>
    <w:p w:rsidR="006A3B6C" w:rsidRDefault="006A3B6C" w:rsidP="006A3B6C">
      <w:pPr>
        <w:autoSpaceDE w:val="0"/>
        <w:autoSpaceDN w:val="0"/>
        <w:adjustRightInd w:val="0"/>
        <w:spacing w:after="0" w:line="240" w:lineRule="auto"/>
        <w:rPr>
          <w:rFonts w:ascii="Arial" w:hAnsi="Arial" w:cs="Arial"/>
          <w:b/>
          <w:bCs/>
          <w:color w:val="215868"/>
        </w:rPr>
      </w:pPr>
      <w:r w:rsidRPr="006A3B6C">
        <w:rPr>
          <w:rFonts w:ascii="Arial" w:hAnsi="Arial" w:cs="Arial"/>
          <w:b/>
          <w:bCs/>
          <w:color w:val="215868"/>
        </w:rPr>
        <w:lastRenderedPageBreak/>
        <w:t>Pilonul IV: Asigurarea serviciilor publice</w:t>
      </w:r>
    </w:p>
    <w:p w:rsidR="00881694" w:rsidRPr="006A3B6C" w:rsidRDefault="00881694" w:rsidP="006A3B6C">
      <w:pPr>
        <w:autoSpaceDE w:val="0"/>
        <w:autoSpaceDN w:val="0"/>
        <w:adjustRightInd w:val="0"/>
        <w:spacing w:after="0" w:line="240" w:lineRule="auto"/>
        <w:rPr>
          <w:rFonts w:ascii="Arial" w:hAnsi="Arial" w:cs="Arial"/>
          <w:b/>
          <w:bCs/>
          <w:color w:val="215868"/>
        </w:rPr>
      </w:pPr>
    </w:p>
    <w:p w:rsidR="006A3B6C" w:rsidRPr="006A3B6C" w:rsidRDefault="006A3B6C" w:rsidP="006A3B6C">
      <w:pPr>
        <w:pStyle w:val="Listparagraf"/>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Alimentare cu apă și canalizare/ managementul integrat al apei</w:t>
      </w:r>
    </w:p>
    <w:p w:rsidR="006A3B6C" w:rsidRPr="006A3B6C" w:rsidRDefault="006A3B6C" w:rsidP="006A3B6C">
      <w:pPr>
        <w:pStyle w:val="Listparagraf"/>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populației racordate la rețelele centralizate de alimentare cu apă (%)</w:t>
      </w:r>
    </w:p>
    <w:p w:rsidR="006A3B6C" w:rsidRPr="006A3B6C" w:rsidRDefault="006A3B6C" w:rsidP="006A3B6C">
      <w:pPr>
        <w:pStyle w:val="Listparagraf"/>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populației racordate la rețelele _____centralizate de canalizare (%)</w:t>
      </w:r>
    </w:p>
    <w:p w:rsidR="006A3B6C" w:rsidRDefault="006A3B6C" w:rsidP="006A3B6C">
      <w:pPr>
        <w:pStyle w:val="Listparagraf"/>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apelor uzate tratate conform cu standardele cerute (%)</w:t>
      </w:r>
    </w:p>
    <w:p w:rsidR="003224F4" w:rsidRPr="006A3B6C" w:rsidRDefault="003224F4" w:rsidP="003224F4">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Managementul deșeurilor</w:t>
      </w:r>
    </w:p>
    <w:p w:rsidR="006A3B6C" w:rsidRP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totală de deșeuri menajere colectată și transportată (tone/an)</w:t>
      </w:r>
    </w:p>
    <w:p w:rsidR="006A3B6C" w:rsidRP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Rata globală de reciclare a deșeurilor menajere (%)</w:t>
      </w:r>
    </w:p>
    <w:p w:rsidR="006A3B6C" w:rsidRP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Capacitate suplimentară de recuperare a deșeurilor (exclusiv reciclare)</w:t>
      </w:r>
    </w:p>
    <w:p w:rsidR="006A3B6C" w:rsidRP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de deșeuri biodegradabile depozitată</w:t>
      </w:r>
    </w:p>
    <w:p w:rsidR="006A3B6C" w:rsidRP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totală de deșeuri menajere colectate separat (de exemplu hârtie și carton, mase plastice, sticlă, metale, lemn) (tone/an)</w:t>
      </w:r>
    </w:p>
    <w:p w:rsid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și vizitatori care participă la activitățile educative legate de gestionarea deșeurilor (număr de persoane)</w:t>
      </w:r>
    </w:p>
    <w:p w:rsidR="003224F4" w:rsidRPr="006A3B6C" w:rsidRDefault="003224F4" w:rsidP="003224F4">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numPr>
          <w:ilvl w:val="0"/>
          <w:numId w:val="32"/>
        </w:numPr>
        <w:autoSpaceDE w:val="0"/>
        <w:autoSpaceDN w:val="0"/>
        <w:adjustRightInd w:val="0"/>
        <w:spacing w:after="0" w:line="240" w:lineRule="auto"/>
        <w:contextualSpacing/>
        <w:rPr>
          <w:rFonts w:ascii="Arial" w:hAnsi="Arial" w:cs="Arial"/>
          <w:b/>
          <w:bCs/>
          <w:color w:val="000000"/>
        </w:rPr>
      </w:pPr>
      <w:r w:rsidRPr="006A3B6C">
        <w:rPr>
          <w:rFonts w:ascii="Arial" w:hAnsi="Arial" w:cs="Arial"/>
          <w:b/>
          <w:bCs/>
          <w:color w:val="000000"/>
        </w:rPr>
        <w:t>Sănătate</w:t>
      </w:r>
    </w:p>
    <w:p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persoane care au beneficiat de consultații privind asistenta medicala primara în ultimul an</w:t>
      </w:r>
    </w:p>
    <w:p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Grad de acoperire prin vaccinare a populației / copiilor</w:t>
      </w:r>
    </w:p>
    <w:p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centre integrate de asistență socio-medicală primară construite / reconstruite</w:t>
      </w:r>
    </w:p>
    <w:p w:rsid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unități de primire medicale reabilitate</w:t>
      </w:r>
    </w:p>
    <w:p w:rsidR="003224F4" w:rsidRPr="006A3B6C" w:rsidRDefault="003224F4" w:rsidP="003224F4">
      <w:pPr>
        <w:autoSpaceDE w:val="0"/>
        <w:autoSpaceDN w:val="0"/>
        <w:adjustRightInd w:val="0"/>
        <w:spacing w:after="0" w:line="240" w:lineRule="auto"/>
        <w:ind w:left="1068"/>
        <w:contextualSpacing/>
        <w:rPr>
          <w:rFonts w:ascii="Arial" w:hAnsi="Arial" w:cs="Arial"/>
          <w:color w:val="000000"/>
        </w:rPr>
      </w:pPr>
    </w:p>
    <w:p w:rsidR="006A3B6C" w:rsidRPr="006A3B6C" w:rsidRDefault="006A3B6C" w:rsidP="006A3B6C">
      <w:pPr>
        <w:pStyle w:val="Listparagraf"/>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Educație</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Rata de cuprindere în învățământul ante-preșcolar / preșcolar / primar / gimnazial / secundar superior, din care: de etnie romă / din mediul rural (%)</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Rata de abandon școlar (%)</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(elevi / ucenici), din care de etnie romă / care beneficiază de sprijin pentru participarea la programe de educație / FP, din care: elevi /ucenici</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angajați care beneficiază de sprijin pentru participarea la FPC (formare / validare de competențe), din care: persoane cu nivel scăzut de calificare / persoane din mediul rural / persoane cu vârsta peste 40 de ani</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(cursanți, studenți) care beneficiază de sprijin pentru tranziția de la școală la viața activă, din care: de etnie romă / din mediul rural /netradițional / SEN</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 tineri / adulți care au obținut o calificare/ au finalizat programe de tip „a doua șansă”, urmare a sprijinului primit</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care beneficiază prin proiecte de sprijin pentru formare /schimb de bune practici</w:t>
      </w:r>
    </w:p>
    <w:p w:rsid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tineri șomeri din categoria NEET, cu vârsta între 16 și 24 de ani, care beneficiază de măsuri de reîntoarcere prin programe de tip „a doua șansă”, din care: de etnie romă / grupuri vulnerabile/ minoritati etnice/ din zona rurală</w:t>
      </w:r>
    </w:p>
    <w:p w:rsidR="003224F4" w:rsidRPr="006A3B6C" w:rsidRDefault="003224F4" w:rsidP="003224F4">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Incluziune și protecție socială</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grădinițe și alte servicii educaționale pentru copiii sub 6 ani în comunități dezavantajate</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integrați în crese /grădinițe în comunitățile dezavantajate</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Rata anuală de copii integrați în clasa pregătitoare și care au participat la educația preșcolară</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elevi cu risc de abandon școlar la începutul și la sfârșitul anului școlar în școlile cu un număr ridicat de romi</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Rata anuală a participării în școlile cu un număr ridicat de romi</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implicați în diferite tipuri de măsuri educaționale complementare (post-școală, grădinițe de vară, tutorat școlar etc.)</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și tipuri de centre (școli, ONG-uri) care au implementat măsurile de educație complementară în funcție de regiuni, județe</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la nivel național și în comunitățile cu o pondere ridicată de romi (peste 25 %)</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angajați cu normă întreagă în sistemul școlar</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instruiți prin programe specifice</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absolvenți ai facultăților de filologie, limba romani, angajați în sistem</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lastRenderedPageBreak/>
        <w:t>Număr de persoane care au beneficiat de drept de proprietate regularizate</w:t>
      </w:r>
    </w:p>
    <w:p w:rsidR="003F58DA" w:rsidRDefault="003F58DA" w:rsidP="006A3B6C">
      <w:pPr>
        <w:autoSpaceDE w:val="0"/>
        <w:autoSpaceDN w:val="0"/>
        <w:adjustRightInd w:val="0"/>
        <w:spacing w:after="0" w:line="240" w:lineRule="auto"/>
        <w:rPr>
          <w:rFonts w:ascii="Arial" w:hAnsi="Arial" w:cs="Arial"/>
          <w:b/>
          <w:bCs/>
          <w:color w:val="215868"/>
        </w:rPr>
      </w:pPr>
    </w:p>
    <w:p w:rsidR="006A3B6C" w:rsidRPr="006A3B6C" w:rsidRDefault="006A3B6C" w:rsidP="006A3B6C">
      <w:pPr>
        <w:autoSpaceDE w:val="0"/>
        <w:autoSpaceDN w:val="0"/>
        <w:adjustRightInd w:val="0"/>
        <w:spacing w:after="0" w:line="240" w:lineRule="auto"/>
        <w:rPr>
          <w:rFonts w:ascii="Arial" w:hAnsi="Arial" w:cs="Arial"/>
          <w:b/>
          <w:bCs/>
          <w:color w:val="215868"/>
        </w:rPr>
      </w:pPr>
      <w:r w:rsidRPr="006A3B6C">
        <w:rPr>
          <w:rFonts w:ascii="Arial" w:hAnsi="Arial" w:cs="Arial"/>
          <w:b/>
          <w:bCs/>
          <w:color w:val="215868"/>
        </w:rPr>
        <w:t>Pilonul V: Promovarea eficienței, accesibilității și sustenabilității</w:t>
      </w:r>
    </w:p>
    <w:p w:rsidR="006A3B6C" w:rsidRPr="006A3B6C" w:rsidRDefault="006A3B6C" w:rsidP="006A3B6C">
      <w:pPr>
        <w:pStyle w:val="Listparagraf"/>
        <w:numPr>
          <w:ilvl w:val="0"/>
          <w:numId w:val="38"/>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Capacitatea administrativă și managementul de program</w:t>
      </w:r>
    </w:p>
    <w:p w:rsidR="006A3B6C" w:rsidRPr="006A3B6C" w:rsidRDefault="006A3B6C" w:rsidP="006A3B6C">
      <w:pPr>
        <w:pStyle w:val="Listparagraf"/>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entități interesate participante la luarea deciziilor și frecvența participării)</w:t>
      </w:r>
    </w:p>
    <w:p w:rsidR="006A3B6C" w:rsidRPr="006A3B6C" w:rsidRDefault="006A3B6C" w:rsidP="006A3B6C">
      <w:pPr>
        <w:pStyle w:val="Listparagraf"/>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autorități și instituții publice care au implementat măsuri unitare pentru reducerea poverii administrative, pentru implementarea sistemelor de management a calității și performanței</w:t>
      </w:r>
    </w:p>
    <w:p w:rsidR="006A3B6C" w:rsidRPr="006A3B6C" w:rsidRDefault="006A3B6C" w:rsidP="006A3B6C">
      <w:pPr>
        <w:pStyle w:val="Listparagraf"/>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acte normative revizuite care vizează îmbunătățirea cadrului legal și instituțional din Delta Dunării</w:t>
      </w:r>
    </w:p>
    <w:p w:rsidR="006A3B6C" w:rsidRPr="006A3B6C" w:rsidRDefault="006A3B6C" w:rsidP="006A3B6C">
      <w:pPr>
        <w:pStyle w:val="Listparagraf"/>
        <w:numPr>
          <w:ilvl w:val="0"/>
          <w:numId w:val="39"/>
        </w:numPr>
        <w:spacing w:after="160" w:line="256" w:lineRule="auto"/>
        <w:rPr>
          <w:rFonts w:ascii="Arial" w:hAnsi="Arial" w:cs="Arial"/>
        </w:rPr>
      </w:pPr>
      <w:r w:rsidRPr="006A3B6C">
        <w:rPr>
          <w:rFonts w:ascii="Arial" w:hAnsi="Arial" w:cs="Arial"/>
          <w:color w:val="000000"/>
        </w:rPr>
        <w:t>Număr de proiecte implementat în cadrul ITI Delta Dunării</w:t>
      </w:r>
    </w:p>
    <w:p w:rsidR="006A3B6C" w:rsidRPr="006A3B6C" w:rsidRDefault="006A3B6C" w:rsidP="006A3B6C">
      <w:pPr>
        <w:rPr>
          <w:rFonts w:ascii="Arial" w:hAnsi="Arial" w:cs="Arial"/>
        </w:rPr>
      </w:pPr>
    </w:p>
    <w:p w:rsidR="006A3B6C" w:rsidRPr="006A3B6C" w:rsidRDefault="006A3B6C" w:rsidP="006A3B6C">
      <w:pPr>
        <w:rPr>
          <w:rFonts w:ascii="Arial" w:hAnsi="Arial" w:cs="Arial"/>
        </w:rPr>
      </w:pPr>
    </w:p>
    <w:p w:rsidR="006A3B6C" w:rsidRPr="006A3B6C" w:rsidRDefault="006A3B6C" w:rsidP="006A3B6C">
      <w:pPr>
        <w:rPr>
          <w:rFonts w:ascii="Arial" w:hAnsi="Arial" w:cs="Arial"/>
        </w:rPr>
      </w:pPr>
    </w:p>
    <w:p w:rsidR="006A3B6C" w:rsidRPr="006A3B6C" w:rsidRDefault="006A3B6C" w:rsidP="00AC23A3">
      <w:pPr>
        <w:spacing w:after="120" w:line="240" w:lineRule="auto"/>
        <w:jc w:val="both"/>
        <w:rPr>
          <w:rFonts w:ascii="Arial" w:eastAsia="Times New Roman" w:hAnsi="Arial" w:cs="Arial"/>
          <w:b/>
        </w:rPr>
      </w:pPr>
    </w:p>
    <w:sectPr w:rsidR="006A3B6C" w:rsidRPr="006A3B6C" w:rsidSect="0005576D">
      <w:headerReference w:type="default" r:id="rId7"/>
      <w:headerReference w:type="first" r:id="rId8"/>
      <w:pgSz w:w="11907" w:h="16840" w:code="9"/>
      <w:pgMar w:top="426" w:right="567" w:bottom="284"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256" w:rsidRDefault="00332256" w:rsidP="00EA0A34">
      <w:pPr>
        <w:spacing w:after="0" w:line="240" w:lineRule="auto"/>
      </w:pPr>
      <w:r>
        <w:separator/>
      </w:r>
    </w:p>
  </w:endnote>
  <w:endnote w:type="continuationSeparator" w:id="0">
    <w:p w:rsidR="00332256" w:rsidRDefault="00332256" w:rsidP="00EA0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256" w:rsidRDefault="00332256" w:rsidP="00EA0A34">
      <w:pPr>
        <w:spacing w:after="0" w:line="240" w:lineRule="auto"/>
      </w:pPr>
      <w:r>
        <w:separator/>
      </w:r>
    </w:p>
  </w:footnote>
  <w:footnote w:type="continuationSeparator" w:id="0">
    <w:p w:rsidR="00332256" w:rsidRDefault="00332256" w:rsidP="00EA0A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A34" w:rsidRDefault="00EA0A34">
    <w:pPr>
      <w:pStyle w:val="Antet"/>
    </w:pPr>
    <w:r>
      <w:rPr>
        <w:noProof/>
        <w:lang w:val="en-US"/>
      </w:rPr>
      <mc:AlternateContent>
        <mc:Choice Requires="wps">
          <w:drawing>
            <wp:anchor distT="0" distB="0" distL="114300" distR="114300" simplePos="0" relativeHeight="251660288" behindDoc="0" locked="0" layoutInCell="1" allowOverlap="1" wp14:anchorId="328515B9" wp14:editId="369F2E94">
              <wp:simplePos x="0" y="0"/>
              <wp:positionH relativeFrom="column">
                <wp:posOffset>995045</wp:posOffset>
              </wp:positionH>
              <wp:positionV relativeFrom="paragraph">
                <wp:posOffset>-14922</wp:posOffset>
              </wp:positionV>
              <wp:extent cx="5334000" cy="680720"/>
              <wp:effectExtent l="0" t="0" r="0" b="5080"/>
              <wp:wrapNone/>
              <wp:docPr id="307"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680720"/>
                      </a:xfrm>
                      <a:prstGeom prst="rect">
                        <a:avLst/>
                      </a:prstGeom>
                      <a:noFill/>
                      <a:ln w="9525">
                        <a:noFill/>
                        <a:miter lim="800000"/>
                        <a:headEnd/>
                        <a:tailEnd/>
                      </a:ln>
                    </wps:spPr>
                    <wps:txbx>
                      <w:txbxContent>
                        <w:p w:rsidR="00EA0A34" w:rsidRPr="00EA0A34" w:rsidRDefault="00EA0A34" w:rsidP="00EA0A34">
                          <w:pPr>
                            <w:spacing w:after="0" w:line="240" w:lineRule="auto"/>
                            <w:jc w:val="center"/>
                            <w:rPr>
                              <w:rFonts w:ascii="Arial" w:hAnsi="Arial" w:cs="Arial"/>
                              <w:color w:val="000099"/>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8515B9" id="_x0000_t202" coordsize="21600,21600" o:spt="202" path="m,l,21600r21600,l21600,xe">
              <v:stroke joinstyle="miter"/>
              <v:path gradientshapeok="t" o:connecttype="rect"/>
            </v:shapetype>
            <v:shape id="Casetă text 2" o:spid="_x0000_s1026" type="#_x0000_t202" style="position:absolute;margin-left:78.35pt;margin-top:-1.15pt;width:420pt;height:5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" filled="f" stroked="f">
              <v:textbox>
                <w:txbxContent>
                  <w:p w:rsidR="00EA0A34" w:rsidRPr="00EA0A34" w:rsidRDefault="00EA0A34" w:rsidP="00EA0A34">
                    <w:pPr>
                      <w:spacing w:after="0" w:line="240" w:lineRule="auto"/>
                      <w:jc w:val="center"/>
                      <w:rPr>
                        <w:rFonts w:ascii="Arial" w:hAnsi="Arial" w:cs="Arial"/>
                        <w:color w:val="000099"/>
                        <w:sz w:val="18"/>
                        <w:szCs w:val="18"/>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A34" w:rsidRDefault="00EA0A34" w:rsidP="00EA0A34">
    <w:pPr>
      <w:pStyle w:val="Antet"/>
    </w:pPr>
    <w:r>
      <w:rPr>
        <w:noProof/>
        <w:lang w:val="en-US"/>
      </w:rPr>
      <mc:AlternateContent>
        <mc:Choice Requires="wps">
          <w:drawing>
            <wp:anchor distT="0" distB="0" distL="114300" distR="114300" simplePos="0" relativeHeight="251665408" behindDoc="0" locked="0" layoutInCell="1" allowOverlap="1" wp14:anchorId="13CAAB7A" wp14:editId="61211447">
              <wp:simplePos x="0" y="0"/>
              <wp:positionH relativeFrom="column">
                <wp:posOffset>995045</wp:posOffset>
              </wp:positionH>
              <wp:positionV relativeFrom="paragraph">
                <wp:posOffset>-14922</wp:posOffset>
              </wp:positionV>
              <wp:extent cx="5334634" cy="944244"/>
              <wp:effectExtent l="0" t="0" r="0" b="0"/>
              <wp:wrapNone/>
              <wp:docPr id="4"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634" cy="944244"/>
                      </a:xfrm>
                      <a:prstGeom prst="rect">
                        <a:avLst/>
                      </a:prstGeom>
                      <a:noFill/>
                      <a:ln w="9525">
                        <a:noFill/>
                        <a:miter lim="800000"/>
                        <a:headEnd/>
                        <a:tailEnd/>
                      </a:ln>
                    </wps:spPr>
                    <wps:txbx>
                      <w:txbxContent>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ASOCIAŢIA PENTRU DEZVOLTARE INTERCOMUNITARĂ</w:t>
                          </w:r>
                        </w:p>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ITI DELTA DUNĂRII</w:t>
                          </w:r>
                        </w:p>
                        <w:p w:rsidR="00EA0A34" w:rsidRPr="00EA0A34" w:rsidRDefault="00EA0A34" w:rsidP="00EA0A34">
                          <w:pPr>
                            <w:spacing w:after="0" w:line="240" w:lineRule="auto"/>
                            <w:jc w:val="center"/>
                            <w:rPr>
                              <w:rFonts w:ascii="Arial" w:hAnsi="Arial" w:cs="Arial"/>
                              <w:color w:val="000099"/>
                              <w:sz w:val="18"/>
                              <w:szCs w:val="18"/>
                            </w:rPr>
                          </w:pPr>
                          <w:r w:rsidRPr="00EA0A34">
                            <w:rPr>
                              <w:rFonts w:ascii="Arial" w:hAnsi="Arial" w:cs="Arial"/>
                              <w:color w:val="000099"/>
                              <w:sz w:val="18"/>
                              <w:szCs w:val="18"/>
                            </w:rPr>
                            <w:t>Tulcea, str. Păcii, nr. 20</w:t>
                          </w:r>
                          <w:r>
                            <w:rPr>
                              <w:rFonts w:ascii="Arial" w:hAnsi="Arial" w:cs="Arial"/>
                              <w:color w:val="000099"/>
                              <w:sz w:val="18"/>
                              <w:szCs w:val="18"/>
                            </w:rPr>
                            <w:t xml:space="preserve">  </w:t>
                          </w:r>
                          <w:hyperlink r:id="rId1" w:history="1">
                            <w:r w:rsidR="00B67975" w:rsidRPr="0076618E">
                              <w:rPr>
                                <w:rStyle w:val="Hyperlink"/>
                                <w:rFonts w:ascii="Arial" w:hAnsi="Arial" w:cs="Arial"/>
                                <w:sz w:val="18"/>
                                <w:szCs w:val="18"/>
                              </w:rPr>
                              <w:t>office@itideltadunarii.com</w:t>
                            </w:r>
                          </w:hyperlink>
                          <w:r w:rsidR="00B67975">
                            <w:rPr>
                              <w:rFonts w:ascii="Arial" w:hAnsi="Arial" w:cs="Arial"/>
                              <w:color w:val="000099"/>
                              <w:sz w:val="18"/>
                              <w:szCs w:val="18"/>
                            </w:rPr>
                            <w:t xml:space="preserve">  </w:t>
                          </w:r>
                          <w:hyperlink r:id="rId2" w:history="1">
                            <w:r w:rsidR="00B67975" w:rsidRPr="0076618E">
                              <w:rPr>
                                <w:rStyle w:val="Hyperlink"/>
                                <w:rFonts w:ascii="Arial" w:hAnsi="Arial" w:cs="Arial"/>
                                <w:sz w:val="18"/>
                                <w:szCs w:val="18"/>
                              </w:rPr>
                              <w:t>www.itideltadunarii.com</w:t>
                            </w:r>
                          </w:hyperlink>
                          <w:r w:rsidR="00B67975">
                            <w:rPr>
                              <w:rFonts w:ascii="Arial" w:hAnsi="Arial" w:cs="Arial"/>
                              <w:color w:val="000099"/>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CAAB7A" id="_x0000_t202" coordsize="21600,21600" o:spt="202" path="m,l,21600r21600,l21600,xe">
              <v:stroke joinstyle="miter"/>
              <v:path gradientshapeok="t" o:connecttype="rect"/>
            </v:shapetype>
            <v:shape id="_x0000_s1027" type="#_x0000_t202" style="position:absolute;margin-left:78.35pt;margin-top:-1.15pt;width:420.05pt;height:7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" filled="f" stroked="f">
              <v:textbox>
                <w:txbxContent>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ASOCIAŢIA PENTRU DEZVOLTARE INTERCOMUNITARĂ</w:t>
                    </w:r>
                  </w:p>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ITI DELTA DUNĂRII</w:t>
                    </w:r>
                  </w:p>
                  <w:p w:rsidR="00EA0A34" w:rsidRPr="00EA0A34" w:rsidRDefault="00EA0A34" w:rsidP="00EA0A34">
                    <w:pPr>
                      <w:spacing w:after="0" w:line="240" w:lineRule="auto"/>
                      <w:jc w:val="center"/>
                      <w:rPr>
                        <w:rFonts w:ascii="Arial" w:hAnsi="Arial" w:cs="Arial"/>
                        <w:color w:val="000099"/>
                        <w:sz w:val="18"/>
                        <w:szCs w:val="18"/>
                      </w:rPr>
                    </w:pPr>
                    <w:r w:rsidRPr="00EA0A34">
                      <w:rPr>
                        <w:rFonts w:ascii="Arial" w:hAnsi="Arial" w:cs="Arial"/>
                        <w:color w:val="000099"/>
                        <w:sz w:val="18"/>
                        <w:szCs w:val="18"/>
                      </w:rPr>
                      <w:t>Tulcea, str. Păcii, nr. 20</w:t>
                    </w:r>
                    <w:r>
                      <w:rPr>
                        <w:rFonts w:ascii="Arial" w:hAnsi="Arial" w:cs="Arial"/>
                        <w:color w:val="000099"/>
                        <w:sz w:val="18"/>
                        <w:szCs w:val="18"/>
                      </w:rPr>
                      <w:t xml:space="preserve">  </w:t>
                    </w:r>
                    <w:hyperlink r:id="rId3" w:history="1">
                      <w:r w:rsidR="00B67975" w:rsidRPr="0076618E">
                        <w:rPr>
                          <w:rStyle w:val="Hyperlink"/>
                          <w:rFonts w:ascii="Arial" w:hAnsi="Arial" w:cs="Arial"/>
                          <w:sz w:val="18"/>
                          <w:szCs w:val="18"/>
                        </w:rPr>
                        <w:t>office@itideltadunarii.com</w:t>
                      </w:r>
                    </w:hyperlink>
                    <w:r w:rsidR="00B67975">
                      <w:rPr>
                        <w:rFonts w:ascii="Arial" w:hAnsi="Arial" w:cs="Arial"/>
                        <w:color w:val="000099"/>
                        <w:sz w:val="18"/>
                        <w:szCs w:val="18"/>
                      </w:rPr>
                      <w:t xml:space="preserve">  </w:t>
                    </w:r>
                    <w:hyperlink r:id="rId4" w:history="1">
                      <w:r w:rsidR="00B67975" w:rsidRPr="0076618E">
                        <w:rPr>
                          <w:rStyle w:val="Hyperlink"/>
                          <w:rFonts w:ascii="Arial" w:hAnsi="Arial" w:cs="Arial"/>
                          <w:sz w:val="18"/>
                          <w:szCs w:val="18"/>
                        </w:rPr>
                        <w:t>www.itideltadunarii.com</w:t>
                      </w:r>
                    </w:hyperlink>
                    <w:r w:rsidR="00B67975">
                      <w:rPr>
                        <w:rFonts w:ascii="Arial" w:hAnsi="Arial" w:cs="Arial"/>
                        <w:color w:val="000099"/>
                        <w:sz w:val="18"/>
                        <w:szCs w:val="18"/>
                      </w:rPr>
                      <w:t xml:space="preserve"> </w:t>
                    </w:r>
                  </w:p>
                </w:txbxContent>
              </v:textbox>
            </v:shape>
          </w:pict>
        </mc:Fallback>
      </mc:AlternateContent>
    </w:r>
    <w:r>
      <w:rPr>
        <w:noProof/>
        <w:lang w:val="en-US"/>
      </w:rPr>
      <mc:AlternateContent>
        <mc:Choice Requires="wps">
          <w:drawing>
            <wp:anchor distT="0" distB="0" distL="114300" distR="114300" simplePos="0" relativeHeight="251662336" behindDoc="0" locked="0" layoutInCell="1" allowOverlap="1" wp14:anchorId="4D13C108" wp14:editId="09E13690">
              <wp:simplePos x="0" y="0"/>
              <wp:positionH relativeFrom="column">
                <wp:posOffset>-485140</wp:posOffset>
              </wp:positionH>
              <wp:positionV relativeFrom="paragraph">
                <wp:posOffset>611505</wp:posOffset>
              </wp:positionV>
              <wp:extent cx="6629400" cy="36000"/>
              <wp:effectExtent l="0" t="0" r="0" b="2540"/>
              <wp:wrapNone/>
              <wp:docPr id="5" name="Dreptunghi 5"/>
              <wp:cNvGraphicFramePr/>
              <a:graphic xmlns:a="http://schemas.openxmlformats.org/drawingml/2006/main">
                <a:graphicData uri="http://schemas.microsoft.com/office/word/2010/wordprocessingShape">
                  <wps:wsp>
                    <wps:cNvSpPr/>
                    <wps:spPr>
                      <a:xfrm>
                        <a:off x="0" y="0"/>
                        <a:ext cx="6629400" cy="36000"/>
                      </a:xfrm>
                      <a:prstGeom prst="rect">
                        <a:avLst/>
                      </a:prstGeom>
                      <a:solidFill>
                        <a:srgbClr val="00009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6BE7B2" id="Dreptunghi 5" o:spid="_x0000_s1026" style="position:absolute;margin-left:-38.2pt;margin-top:48.15pt;width:522pt;height:2.8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" fillcolor="#009" stroked="f" strokeweight="2pt"/>
          </w:pict>
        </mc:Fallback>
      </mc:AlternateContent>
    </w:r>
    <w:r>
      <w:rPr>
        <w:noProof/>
        <w:lang w:val="en-US"/>
      </w:rPr>
      <w:drawing>
        <wp:anchor distT="0" distB="0" distL="114300" distR="114300" simplePos="0" relativeHeight="251664384" behindDoc="0" locked="0" layoutInCell="1" allowOverlap="1" wp14:anchorId="1FF6DFF2" wp14:editId="5CFA1224">
          <wp:simplePos x="0" y="0"/>
          <wp:positionH relativeFrom="column">
            <wp:posOffset>-314325</wp:posOffset>
          </wp:positionH>
          <wp:positionV relativeFrom="paragraph">
            <wp:posOffset>-207645</wp:posOffset>
          </wp:positionV>
          <wp:extent cx="1069340" cy="709295"/>
          <wp:effectExtent l="0" t="0" r="0" b="0"/>
          <wp:wrapNone/>
          <wp:docPr id="13"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lican bleumarin.png"/>
                  <pic:cNvPicPr/>
                </pic:nvPicPr>
                <pic:blipFill>
                  <a:blip r:embed="rId5">
                    <a:extLst>
                      <a:ext uri="{28A0092B-C50C-407E-A947-70E740481C1C}">
                        <a14:useLocalDpi xmlns:a14="http://schemas.microsoft.com/office/drawing/2010/main" val="0"/>
                      </a:ext>
                    </a:extLst>
                  </a:blip>
                  <a:stretch>
                    <a:fillRect/>
                  </a:stretch>
                </pic:blipFill>
                <pic:spPr>
                  <a:xfrm>
                    <a:off x="0" y="0"/>
                    <a:ext cx="1069340" cy="70929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3360" behindDoc="0" locked="0" layoutInCell="1" allowOverlap="1" wp14:anchorId="0096D702" wp14:editId="35C318BB">
          <wp:simplePos x="0" y="0"/>
          <wp:positionH relativeFrom="column">
            <wp:posOffset>37465</wp:posOffset>
          </wp:positionH>
          <wp:positionV relativeFrom="paragraph">
            <wp:posOffset>-127000</wp:posOffset>
          </wp:positionV>
          <wp:extent cx="1252220" cy="1054100"/>
          <wp:effectExtent l="0" t="0" r="5080" b="0"/>
          <wp:wrapNone/>
          <wp:docPr id="14"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ta verde.jpg"/>
                  <pic:cNvPicPr/>
                </pic:nvPicPr>
                <pic:blipFill>
                  <a:blip r:embed="rId6" cstate="print">
                    <a:clrChange>
                      <a:clrFrom>
                        <a:srgbClr val="FDFDFD"/>
                      </a:clrFrom>
                      <a:clrTo>
                        <a:srgbClr val="FDFDFD">
                          <a:alpha val="0"/>
                        </a:srgbClr>
                      </a:clrTo>
                    </a:clrChange>
                    <a:extLst>
                      <a:ext uri="{28A0092B-C50C-407E-A947-70E740481C1C}">
                        <a14:useLocalDpi xmlns:a14="http://schemas.microsoft.com/office/drawing/2010/main" val="0"/>
                      </a:ext>
                    </a:extLst>
                  </a:blip>
                  <a:stretch>
                    <a:fillRect/>
                  </a:stretch>
                </pic:blipFill>
                <pic:spPr>
                  <a:xfrm>
                    <a:off x="0" y="0"/>
                    <a:ext cx="1252220" cy="1054100"/>
                  </a:xfrm>
                  <a:prstGeom prst="rect">
                    <a:avLst/>
                  </a:prstGeom>
                </pic:spPr>
              </pic:pic>
            </a:graphicData>
          </a:graphic>
          <wp14:sizeRelH relativeFrom="page">
            <wp14:pctWidth>0</wp14:pctWidth>
          </wp14:sizeRelH>
          <wp14:sizeRelV relativeFrom="page">
            <wp14:pctHeight>0</wp14:pctHeight>
          </wp14:sizeRelV>
        </wp:anchor>
      </w:drawing>
    </w:r>
  </w:p>
  <w:p w:rsidR="00EA0A34" w:rsidRDefault="00EA0A34">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E299D"/>
    <w:multiLevelType w:val="hybridMultilevel"/>
    <w:tmpl w:val="345C33F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8B949ED"/>
    <w:multiLevelType w:val="hybridMultilevel"/>
    <w:tmpl w:val="B9185882"/>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nsid w:val="08FE2BA3"/>
    <w:multiLevelType w:val="multilevel"/>
    <w:tmpl w:val="835E2C78"/>
    <w:lvl w:ilvl="0">
      <w:start w:val="1"/>
      <w:numFmt w:val="bullet"/>
      <w:lvlText w:val=""/>
      <w:lvlJc w:val="left"/>
      <w:pPr>
        <w:ind w:left="360" w:hanging="360"/>
      </w:pPr>
      <w:rPr>
        <w:rFonts w:ascii="Symbol" w:hAnsi="Symbol" w:hint="default"/>
      </w:rPr>
    </w:lvl>
    <w:lvl w:ilvl="1">
      <w:start w:val="1"/>
      <w:numFmt w:val="bullet"/>
      <w:lvlText w:val=""/>
      <w:lvlJc w:val="left"/>
      <w:pPr>
        <w:ind w:left="716" w:hanging="432"/>
      </w:pPr>
      <w:rPr>
        <w:rFonts w:ascii="Symbol" w:hAnsi="Symbol"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bullet"/>
      <w:lvlText w:val=""/>
      <w:lvlJc w:val="left"/>
      <w:pPr>
        <w:ind w:left="2354"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594A9E"/>
    <w:multiLevelType w:val="hybridMultilevel"/>
    <w:tmpl w:val="993AAF9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4">
    <w:nsid w:val="0AF62CF8"/>
    <w:multiLevelType w:val="hybridMultilevel"/>
    <w:tmpl w:val="C2E2CA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D744BB6"/>
    <w:multiLevelType w:val="hybridMultilevel"/>
    <w:tmpl w:val="6F12794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6">
    <w:nsid w:val="0DA81B0A"/>
    <w:multiLevelType w:val="hybridMultilevel"/>
    <w:tmpl w:val="F30CDC1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7">
    <w:nsid w:val="14EF5B2B"/>
    <w:multiLevelType w:val="hybridMultilevel"/>
    <w:tmpl w:val="07AE146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8AB7DC7"/>
    <w:multiLevelType w:val="hybridMultilevel"/>
    <w:tmpl w:val="13DE8560"/>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9">
    <w:nsid w:val="1C035D70"/>
    <w:multiLevelType w:val="hybridMultilevel"/>
    <w:tmpl w:val="41EA3D3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nsid w:val="1C396E9A"/>
    <w:multiLevelType w:val="hybridMultilevel"/>
    <w:tmpl w:val="4F0ABAB4"/>
    <w:lvl w:ilvl="0" w:tplc="A0267826">
      <w:start w:val="1"/>
      <w:numFmt w:val="bullet"/>
      <w:lvlText w:val=""/>
      <w:lvlJc w:val="left"/>
      <w:pPr>
        <w:tabs>
          <w:tab w:val="num" w:pos="1420"/>
        </w:tabs>
        <w:ind w:left="1420" w:hanging="340"/>
      </w:pPr>
      <w:rPr>
        <w:rFonts w:ascii="Symbol" w:hAnsi="Symbol"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22DB729C"/>
    <w:multiLevelType w:val="hybridMultilevel"/>
    <w:tmpl w:val="33FCBC18"/>
    <w:lvl w:ilvl="0" w:tplc="66E499CE">
      <w:start w:val="1"/>
      <w:numFmt w:val="bullet"/>
      <w:lvlText w:val=""/>
      <w:lvlJc w:val="left"/>
      <w:pPr>
        <w:tabs>
          <w:tab w:val="num" w:pos="435"/>
        </w:tabs>
        <w:ind w:left="435" w:hanging="360"/>
      </w:pPr>
      <w:rPr>
        <w:rFonts w:ascii="Symbol" w:hAnsi="Symbol" w:hint="default"/>
        <w:color w:val="auto"/>
        <w:sz w:val="20"/>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350612D"/>
    <w:multiLevelType w:val="hybridMultilevel"/>
    <w:tmpl w:val="39B2A954"/>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nsid w:val="29515328"/>
    <w:multiLevelType w:val="hybridMultilevel"/>
    <w:tmpl w:val="DBBE9A48"/>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4">
    <w:nsid w:val="2AD27B45"/>
    <w:multiLevelType w:val="hybridMultilevel"/>
    <w:tmpl w:val="A10CC79A"/>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5">
    <w:nsid w:val="2B5F23BB"/>
    <w:multiLevelType w:val="hybridMultilevel"/>
    <w:tmpl w:val="EAA8D6F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6">
    <w:nsid w:val="2D7A5146"/>
    <w:multiLevelType w:val="hybridMultilevel"/>
    <w:tmpl w:val="809C669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7">
    <w:nsid w:val="331976F3"/>
    <w:multiLevelType w:val="hybridMultilevel"/>
    <w:tmpl w:val="41AA7FA2"/>
    <w:lvl w:ilvl="0" w:tplc="66E499CE">
      <w:start w:val="1"/>
      <w:numFmt w:val="bullet"/>
      <w:lvlText w:val=""/>
      <w:lvlJc w:val="left"/>
      <w:pPr>
        <w:tabs>
          <w:tab w:val="num" w:pos="435"/>
        </w:tabs>
        <w:ind w:left="435" w:hanging="360"/>
      </w:pPr>
      <w:rPr>
        <w:rFonts w:ascii="Symbol" w:hAnsi="Symbol" w:hint="default"/>
        <w:color w:val="auto"/>
        <w:sz w:val="20"/>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8E90087"/>
    <w:multiLevelType w:val="hybridMultilevel"/>
    <w:tmpl w:val="CD443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3D841FA1"/>
    <w:multiLevelType w:val="hybridMultilevel"/>
    <w:tmpl w:val="1318D9A6"/>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0">
    <w:nsid w:val="49EF18D8"/>
    <w:multiLevelType w:val="hybridMultilevel"/>
    <w:tmpl w:val="B85E625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nsid w:val="4CA10555"/>
    <w:multiLevelType w:val="hybridMultilevel"/>
    <w:tmpl w:val="9544B80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2">
    <w:nsid w:val="530E15A9"/>
    <w:multiLevelType w:val="hybridMultilevel"/>
    <w:tmpl w:val="991A220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3">
    <w:nsid w:val="54A34451"/>
    <w:multiLevelType w:val="hybridMultilevel"/>
    <w:tmpl w:val="2DF0CC6A"/>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4">
    <w:nsid w:val="54EE0416"/>
    <w:multiLevelType w:val="hybridMultilevel"/>
    <w:tmpl w:val="FDEE28BC"/>
    <w:lvl w:ilvl="0" w:tplc="437C7724">
      <w:start w:val="1"/>
      <w:numFmt w:val="decimal"/>
      <w:lvlText w:val="%1."/>
      <w:lvlJc w:val="left"/>
      <w:pPr>
        <w:ind w:left="394" w:hanging="360"/>
      </w:pPr>
      <w:rPr>
        <w:rFonts w:hint="default"/>
      </w:rPr>
    </w:lvl>
    <w:lvl w:ilvl="1" w:tplc="04180019" w:tentative="1">
      <w:start w:val="1"/>
      <w:numFmt w:val="lowerLetter"/>
      <w:lvlText w:val="%2."/>
      <w:lvlJc w:val="left"/>
      <w:pPr>
        <w:ind w:left="1114" w:hanging="360"/>
      </w:pPr>
    </w:lvl>
    <w:lvl w:ilvl="2" w:tplc="0418001B" w:tentative="1">
      <w:start w:val="1"/>
      <w:numFmt w:val="lowerRoman"/>
      <w:lvlText w:val="%3."/>
      <w:lvlJc w:val="right"/>
      <w:pPr>
        <w:ind w:left="1834" w:hanging="180"/>
      </w:pPr>
    </w:lvl>
    <w:lvl w:ilvl="3" w:tplc="0418000F" w:tentative="1">
      <w:start w:val="1"/>
      <w:numFmt w:val="decimal"/>
      <w:lvlText w:val="%4."/>
      <w:lvlJc w:val="left"/>
      <w:pPr>
        <w:ind w:left="2554" w:hanging="360"/>
      </w:pPr>
    </w:lvl>
    <w:lvl w:ilvl="4" w:tplc="04180019" w:tentative="1">
      <w:start w:val="1"/>
      <w:numFmt w:val="lowerLetter"/>
      <w:lvlText w:val="%5."/>
      <w:lvlJc w:val="left"/>
      <w:pPr>
        <w:ind w:left="3274" w:hanging="360"/>
      </w:pPr>
    </w:lvl>
    <w:lvl w:ilvl="5" w:tplc="0418001B" w:tentative="1">
      <w:start w:val="1"/>
      <w:numFmt w:val="lowerRoman"/>
      <w:lvlText w:val="%6."/>
      <w:lvlJc w:val="right"/>
      <w:pPr>
        <w:ind w:left="3994" w:hanging="180"/>
      </w:pPr>
    </w:lvl>
    <w:lvl w:ilvl="6" w:tplc="0418000F" w:tentative="1">
      <w:start w:val="1"/>
      <w:numFmt w:val="decimal"/>
      <w:lvlText w:val="%7."/>
      <w:lvlJc w:val="left"/>
      <w:pPr>
        <w:ind w:left="4714" w:hanging="360"/>
      </w:pPr>
    </w:lvl>
    <w:lvl w:ilvl="7" w:tplc="04180019" w:tentative="1">
      <w:start w:val="1"/>
      <w:numFmt w:val="lowerLetter"/>
      <w:lvlText w:val="%8."/>
      <w:lvlJc w:val="left"/>
      <w:pPr>
        <w:ind w:left="5434" w:hanging="360"/>
      </w:pPr>
    </w:lvl>
    <w:lvl w:ilvl="8" w:tplc="0418001B" w:tentative="1">
      <w:start w:val="1"/>
      <w:numFmt w:val="lowerRoman"/>
      <w:lvlText w:val="%9."/>
      <w:lvlJc w:val="right"/>
      <w:pPr>
        <w:ind w:left="6154" w:hanging="180"/>
      </w:pPr>
    </w:lvl>
  </w:abstractNum>
  <w:abstractNum w:abstractNumId="25">
    <w:nsid w:val="55F56529"/>
    <w:multiLevelType w:val="hybridMultilevel"/>
    <w:tmpl w:val="698C96B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DEB3DEB"/>
    <w:multiLevelType w:val="hybridMultilevel"/>
    <w:tmpl w:val="4DD08D5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65292678"/>
    <w:multiLevelType w:val="hybridMultilevel"/>
    <w:tmpl w:val="56682F14"/>
    <w:lvl w:ilvl="0" w:tplc="6FC8DCAC">
      <w:start w:val="1"/>
      <w:numFmt w:val="decimal"/>
      <w:lvlText w:val="%1."/>
      <w:lvlJc w:val="left"/>
      <w:pPr>
        <w:tabs>
          <w:tab w:val="num" w:pos="1080"/>
        </w:tabs>
        <w:ind w:left="0" w:firstLine="0"/>
      </w:pPr>
      <w:rPr>
        <w:rFonts w:hint="default"/>
        <w:b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B074901"/>
    <w:multiLevelType w:val="hybridMultilevel"/>
    <w:tmpl w:val="D59A2DCC"/>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9">
    <w:nsid w:val="6FAD0993"/>
    <w:multiLevelType w:val="hybridMultilevel"/>
    <w:tmpl w:val="4148D8FA"/>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0">
    <w:nsid w:val="724D3BA4"/>
    <w:multiLevelType w:val="hybridMultilevel"/>
    <w:tmpl w:val="68C8450C"/>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1">
    <w:nsid w:val="73E90EAB"/>
    <w:multiLevelType w:val="hybridMultilevel"/>
    <w:tmpl w:val="E34A1F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752D0733"/>
    <w:multiLevelType w:val="hybridMultilevel"/>
    <w:tmpl w:val="678270FE"/>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3">
    <w:nsid w:val="776B1888"/>
    <w:multiLevelType w:val="hybridMultilevel"/>
    <w:tmpl w:val="BA76E448"/>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4">
    <w:nsid w:val="7A986F58"/>
    <w:multiLevelType w:val="hybridMultilevel"/>
    <w:tmpl w:val="1A883BD8"/>
    <w:lvl w:ilvl="0" w:tplc="8188C7A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nsid w:val="7D7E2BAF"/>
    <w:multiLevelType w:val="multilevel"/>
    <w:tmpl w:val="199E1CA0"/>
    <w:lvl w:ilvl="0">
      <w:start w:val="1"/>
      <w:numFmt w:val="decimal"/>
      <w:lvlText w:val="%1."/>
      <w:lvlJc w:val="left"/>
      <w:pPr>
        <w:ind w:left="360" w:hanging="360"/>
      </w:pPr>
      <w:rPr>
        <w:rFonts w:hint="default"/>
      </w:rPr>
    </w:lvl>
    <w:lvl w:ilvl="1">
      <w:start w:val="1"/>
      <w:numFmt w:val="bullet"/>
      <w:lvlText w:val=""/>
      <w:lvlJc w:val="left"/>
      <w:pPr>
        <w:ind w:left="716" w:hanging="432"/>
      </w:pPr>
      <w:rPr>
        <w:rFonts w:ascii="Symbol" w:hAnsi="Symbol"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bullet"/>
      <w:lvlText w:val=""/>
      <w:lvlJc w:val="left"/>
      <w:pPr>
        <w:ind w:left="2354"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ECA72C9"/>
    <w:multiLevelType w:val="hybridMultilevel"/>
    <w:tmpl w:val="D2463CF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7">
    <w:nsid w:val="7F314803"/>
    <w:multiLevelType w:val="hybridMultilevel"/>
    <w:tmpl w:val="D6D64D66"/>
    <w:lvl w:ilvl="0" w:tplc="BEA433E2">
      <w:start w:val="1"/>
      <w:numFmt w:val="decimal"/>
      <w:lvlText w:val="%1."/>
      <w:lvlJc w:val="left"/>
      <w:pPr>
        <w:ind w:left="720" w:hanging="360"/>
      </w:pPr>
      <w:rPr>
        <w:rFonts w:hint="default"/>
        <w:b w:val="0"/>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7F6D4D26"/>
    <w:multiLevelType w:val="hybridMultilevel"/>
    <w:tmpl w:val="FC1C6240"/>
    <w:lvl w:ilvl="0" w:tplc="39667C5A">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abstractNumId w:val="7"/>
  </w:num>
  <w:num w:numId="2">
    <w:abstractNumId w:val="20"/>
  </w:num>
  <w:num w:numId="3">
    <w:abstractNumId w:val="36"/>
  </w:num>
  <w:num w:numId="4">
    <w:abstractNumId w:val="26"/>
  </w:num>
  <w:num w:numId="5">
    <w:abstractNumId w:val="4"/>
  </w:num>
  <w:num w:numId="6">
    <w:abstractNumId w:val="0"/>
  </w:num>
  <w:num w:numId="7">
    <w:abstractNumId w:val="34"/>
  </w:num>
  <w:num w:numId="8">
    <w:abstractNumId w:val="24"/>
  </w:num>
  <w:num w:numId="9">
    <w:abstractNumId w:val="37"/>
  </w:num>
  <w:num w:numId="10">
    <w:abstractNumId w:val="35"/>
  </w:num>
  <w:num w:numId="11">
    <w:abstractNumId w:val="2"/>
  </w:num>
  <w:num w:numId="12">
    <w:abstractNumId w:val="31"/>
  </w:num>
  <w:num w:numId="13">
    <w:abstractNumId w:val="25"/>
  </w:num>
  <w:num w:numId="14">
    <w:abstractNumId w:val="27"/>
  </w:num>
  <w:num w:numId="15">
    <w:abstractNumId w:val="10"/>
  </w:num>
  <w:num w:numId="16">
    <w:abstractNumId w:val="11"/>
  </w:num>
  <w:num w:numId="17">
    <w:abstractNumId w:val="17"/>
  </w:num>
  <w:num w:numId="18">
    <w:abstractNumId w:val="1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FC6"/>
    <w:rsid w:val="00000BEF"/>
    <w:rsid w:val="000431AC"/>
    <w:rsid w:val="0005576D"/>
    <w:rsid w:val="00077987"/>
    <w:rsid w:val="0008180F"/>
    <w:rsid w:val="00087695"/>
    <w:rsid w:val="00093A8E"/>
    <w:rsid w:val="00094930"/>
    <w:rsid w:val="0009653A"/>
    <w:rsid w:val="000A264B"/>
    <w:rsid w:val="000C00A0"/>
    <w:rsid w:val="000C1339"/>
    <w:rsid w:val="000D0D88"/>
    <w:rsid w:val="000D15CA"/>
    <w:rsid w:val="000D2140"/>
    <w:rsid w:val="000F3E0A"/>
    <w:rsid w:val="00100661"/>
    <w:rsid w:val="001015D9"/>
    <w:rsid w:val="00104275"/>
    <w:rsid w:val="00120E71"/>
    <w:rsid w:val="00124560"/>
    <w:rsid w:val="00141D58"/>
    <w:rsid w:val="001466FA"/>
    <w:rsid w:val="001636F4"/>
    <w:rsid w:val="001704AD"/>
    <w:rsid w:val="00184A99"/>
    <w:rsid w:val="001928E8"/>
    <w:rsid w:val="001B47C8"/>
    <w:rsid w:val="001D513C"/>
    <w:rsid w:val="001D790D"/>
    <w:rsid w:val="001E64A4"/>
    <w:rsid w:val="001F11DB"/>
    <w:rsid w:val="001F2F0D"/>
    <w:rsid w:val="002035C2"/>
    <w:rsid w:val="00214FC6"/>
    <w:rsid w:val="00240F5B"/>
    <w:rsid w:val="00272CA6"/>
    <w:rsid w:val="0028613E"/>
    <w:rsid w:val="00295B9C"/>
    <w:rsid w:val="002A00C6"/>
    <w:rsid w:val="002A429C"/>
    <w:rsid w:val="002B5A85"/>
    <w:rsid w:val="002B63FB"/>
    <w:rsid w:val="002B7A88"/>
    <w:rsid w:val="002D3217"/>
    <w:rsid w:val="002E7B12"/>
    <w:rsid w:val="002F4B1F"/>
    <w:rsid w:val="0031239E"/>
    <w:rsid w:val="003154C0"/>
    <w:rsid w:val="00317663"/>
    <w:rsid w:val="003224F4"/>
    <w:rsid w:val="00332256"/>
    <w:rsid w:val="00335CF7"/>
    <w:rsid w:val="00353090"/>
    <w:rsid w:val="003843AB"/>
    <w:rsid w:val="00386C77"/>
    <w:rsid w:val="003B45D5"/>
    <w:rsid w:val="003B4F93"/>
    <w:rsid w:val="003B6D53"/>
    <w:rsid w:val="003C7596"/>
    <w:rsid w:val="003D201C"/>
    <w:rsid w:val="003D65E1"/>
    <w:rsid w:val="003E1712"/>
    <w:rsid w:val="003F0B3C"/>
    <w:rsid w:val="003F58DA"/>
    <w:rsid w:val="004045E9"/>
    <w:rsid w:val="0041520D"/>
    <w:rsid w:val="00441CFA"/>
    <w:rsid w:val="00446E59"/>
    <w:rsid w:val="0047019D"/>
    <w:rsid w:val="004A0A4C"/>
    <w:rsid w:val="004A5AEE"/>
    <w:rsid w:val="004A6111"/>
    <w:rsid w:val="004C31B8"/>
    <w:rsid w:val="004D2663"/>
    <w:rsid w:val="004D4F9B"/>
    <w:rsid w:val="004E4203"/>
    <w:rsid w:val="004F5859"/>
    <w:rsid w:val="00505278"/>
    <w:rsid w:val="00540E6C"/>
    <w:rsid w:val="00550E34"/>
    <w:rsid w:val="005534D5"/>
    <w:rsid w:val="00562CF9"/>
    <w:rsid w:val="005930C7"/>
    <w:rsid w:val="005952A5"/>
    <w:rsid w:val="005A640F"/>
    <w:rsid w:val="005D22E9"/>
    <w:rsid w:val="005E0120"/>
    <w:rsid w:val="005F7F59"/>
    <w:rsid w:val="006040A9"/>
    <w:rsid w:val="00611DA0"/>
    <w:rsid w:val="006140FB"/>
    <w:rsid w:val="00625F94"/>
    <w:rsid w:val="00642490"/>
    <w:rsid w:val="006504E7"/>
    <w:rsid w:val="00655623"/>
    <w:rsid w:val="00680195"/>
    <w:rsid w:val="0068172C"/>
    <w:rsid w:val="00693CE4"/>
    <w:rsid w:val="006A3B6C"/>
    <w:rsid w:val="006B791A"/>
    <w:rsid w:val="006D57E9"/>
    <w:rsid w:val="006E3D61"/>
    <w:rsid w:val="006E6649"/>
    <w:rsid w:val="00712168"/>
    <w:rsid w:val="007137E5"/>
    <w:rsid w:val="00724ACC"/>
    <w:rsid w:val="007757BF"/>
    <w:rsid w:val="00787338"/>
    <w:rsid w:val="007D6311"/>
    <w:rsid w:val="007D6A69"/>
    <w:rsid w:val="007E0304"/>
    <w:rsid w:val="008262A5"/>
    <w:rsid w:val="0083325F"/>
    <w:rsid w:val="008543CF"/>
    <w:rsid w:val="0086359E"/>
    <w:rsid w:val="00865805"/>
    <w:rsid w:val="00881694"/>
    <w:rsid w:val="00885345"/>
    <w:rsid w:val="008B76CF"/>
    <w:rsid w:val="008F2CC5"/>
    <w:rsid w:val="008F7A4C"/>
    <w:rsid w:val="00916E3F"/>
    <w:rsid w:val="00926A61"/>
    <w:rsid w:val="00943603"/>
    <w:rsid w:val="00954E3B"/>
    <w:rsid w:val="00955537"/>
    <w:rsid w:val="009637DA"/>
    <w:rsid w:val="009807AB"/>
    <w:rsid w:val="0098647B"/>
    <w:rsid w:val="00994E18"/>
    <w:rsid w:val="00997664"/>
    <w:rsid w:val="009A530B"/>
    <w:rsid w:val="009D1E13"/>
    <w:rsid w:val="009D2B40"/>
    <w:rsid w:val="009D6C5D"/>
    <w:rsid w:val="009E276D"/>
    <w:rsid w:val="00A079CB"/>
    <w:rsid w:val="00A554A9"/>
    <w:rsid w:val="00A70153"/>
    <w:rsid w:val="00A879B4"/>
    <w:rsid w:val="00A92602"/>
    <w:rsid w:val="00AC23A3"/>
    <w:rsid w:val="00AF2E6B"/>
    <w:rsid w:val="00B31506"/>
    <w:rsid w:val="00B34102"/>
    <w:rsid w:val="00B45216"/>
    <w:rsid w:val="00B54787"/>
    <w:rsid w:val="00B67975"/>
    <w:rsid w:val="00B770CD"/>
    <w:rsid w:val="00B82635"/>
    <w:rsid w:val="00B83047"/>
    <w:rsid w:val="00B87FE1"/>
    <w:rsid w:val="00BA6EB3"/>
    <w:rsid w:val="00BB1C72"/>
    <w:rsid w:val="00BB67AE"/>
    <w:rsid w:val="00BB68AB"/>
    <w:rsid w:val="00BC22DD"/>
    <w:rsid w:val="00BC3F17"/>
    <w:rsid w:val="00BD5DEA"/>
    <w:rsid w:val="00C041E9"/>
    <w:rsid w:val="00C04F7F"/>
    <w:rsid w:val="00C20921"/>
    <w:rsid w:val="00C358A1"/>
    <w:rsid w:val="00C50B98"/>
    <w:rsid w:val="00C62E34"/>
    <w:rsid w:val="00C84A2C"/>
    <w:rsid w:val="00C86840"/>
    <w:rsid w:val="00C87558"/>
    <w:rsid w:val="00C96D46"/>
    <w:rsid w:val="00CB3290"/>
    <w:rsid w:val="00CB6D72"/>
    <w:rsid w:val="00CC1E27"/>
    <w:rsid w:val="00CC5F68"/>
    <w:rsid w:val="00D1113A"/>
    <w:rsid w:val="00D14EFE"/>
    <w:rsid w:val="00D21B05"/>
    <w:rsid w:val="00D22247"/>
    <w:rsid w:val="00D30ABF"/>
    <w:rsid w:val="00D31586"/>
    <w:rsid w:val="00D81DEB"/>
    <w:rsid w:val="00DA449C"/>
    <w:rsid w:val="00DB466B"/>
    <w:rsid w:val="00DE2DBE"/>
    <w:rsid w:val="00DF3F56"/>
    <w:rsid w:val="00DF5E4E"/>
    <w:rsid w:val="00E16F93"/>
    <w:rsid w:val="00E178B8"/>
    <w:rsid w:val="00E24678"/>
    <w:rsid w:val="00E317EF"/>
    <w:rsid w:val="00E64334"/>
    <w:rsid w:val="00E8108F"/>
    <w:rsid w:val="00E92E8A"/>
    <w:rsid w:val="00EA0A34"/>
    <w:rsid w:val="00EA1585"/>
    <w:rsid w:val="00EA5147"/>
    <w:rsid w:val="00EA57F0"/>
    <w:rsid w:val="00EB369A"/>
    <w:rsid w:val="00EB467F"/>
    <w:rsid w:val="00EF139A"/>
    <w:rsid w:val="00EF20EE"/>
    <w:rsid w:val="00F02455"/>
    <w:rsid w:val="00F32080"/>
    <w:rsid w:val="00F621D1"/>
    <w:rsid w:val="00F647B9"/>
    <w:rsid w:val="00F83082"/>
    <w:rsid w:val="00F96DCF"/>
    <w:rsid w:val="00FB12E3"/>
    <w:rsid w:val="00FD68A0"/>
    <w:rsid w:val="00FF6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9000AF-7BE3-4DC3-82E0-C171BE342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FC6"/>
    <w:rPr>
      <w:rFonts w:ascii="Calibri" w:eastAsia="Calibri" w:hAnsi="Calibri" w:cs="Times New Roman"/>
      <w:lang w:val="ro-RO"/>
    </w:rPr>
  </w:style>
  <w:style w:type="paragraph" w:styleId="Titlu2">
    <w:name w:val="heading 2"/>
    <w:aliases w:val="Nadpis_2,AB,Numbered - 2,Sub Heading,ignorer2,Heading 2 Char1,Heading 2 Char Char"/>
    <w:basedOn w:val="Normal"/>
    <w:next w:val="Normal"/>
    <w:link w:val="Titlu2Caracter"/>
    <w:qFormat/>
    <w:rsid w:val="004E4203"/>
    <w:pPr>
      <w:keepNext/>
      <w:spacing w:before="240" w:after="60" w:line="240" w:lineRule="auto"/>
      <w:outlineLvl w:val="1"/>
    </w:pPr>
    <w:rPr>
      <w:rFonts w:ascii="Trebuchet MS" w:eastAsia="Times New Roman" w:hAnsi="Trebuchet MS" w:cs="Arial"/>
      <w:b/>
      <w:bCs/>
      <w:sz w:val="24"/>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EA0A34"/>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EA0A34"/>
  </w:style>
  <w:style w:type="paragraph" w:styleId="Subsol">
    <w:name w:val="footer"/>
    <w:basedOn w:val="Normal"/>
    <w:link w:val="SubsolCaracter"/>
    <w:uiPriority w:val="99"/>
    <w:unhideWhenUsed/>
    <w:rsid w:val="00EA0A34"/>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EA0A34"/>
  </w:style>
  <w:style w:type="paragraph" w:styleId="TextnBalon">
    <w:name w:val="Balloon Text"/>
    <w:basedOn w:val="Normal"/>
    <w:link w:val="TextnBalonCaracter"/>
    <w:uiPriority w:val="99"/>
    <w:semiHidden/>
    <w:unhideWhenUsed/>
    <w:rsid w:val="00EA0A34"/>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A0A34"/>
    <w:rPr>
      <w:rFonts w:ascii="Tahoma" w:hAnsi="Tahoma" w:cs="Tahoma"/>
      <w:sz w:val="16"/>
      <w:szCs w:val="16"/>
    </w:rPr>
  </w:style>
  <w:style w:type="paragraph" w:styleId="Listparagraf">
    <w:name w:val="List Paragraph"/>
    <w:basedOn w:val="Normal"/>
    <w:uiPriority w:val="34"/>
    <w:qFormat/>
    <w:rsid w:val="009A530B"/>
    <w:pPr>
      <w:ind w:left="720"/>
      <w:contextualSpacing/>
    </w:pPr>
  </w:style>
  <w:style w:type="character" w:styleId="Hyperlink">
    <w:name w:val="Hyperlink"/>
    <w:basedOn w:val="Fontdeparagrafimplicit"/>
    <w:uiPriority w:val="99"/>
    <w:unhideWhenUsed/>
    <w:rsid w:val="0047019D"/>
    <w:rPr>
      <w:color w:val="0000FF" w:themeColor="hyperlink"/>
      <w:u w:val="single"/>
    </w:rPr>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rsid w:val="004E4203"/>
    <w:rPr>
      <w:rFonts w:ascii="Trebuchet MS" w:eastAsia="Times New Roman" w:hAnsi="Trebuchet MS" w:cs="Arial"/>
      <w:b/>
      <w:bCs/>
      <w:sz w:val="24"/>
      <w:szCs w:val="2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330047">
      <w:bodyDiv w:val="1"/>
      <w:marLeft w:val="0"/>
      <w:marRight w:val="0"/>
      <w:marTop w:val="0"/>
      <w:marBottom w:val="0"/>
      <w:divBdr>
        <w:top w:val="none" w:sz="0" w:space="0" w:color="auto"/>
        <w:left w:val="none" w:sz="0" w:space="0" w:color="auto"/>
        <w:bottom w:val="none" w:sz="0" w:space="0" w:color="auto"/>
        <w:right w:val="none" w:sz="0" w:space="0" w:color="auto"/>
      </w:divBdr>
    </w:div>
    <w:div w:id="177478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office@itideltadunarii.com" TargetMode="External"/><Relationship Id="rId2" Type="http://schemas.openxmlformats.org/officeDocument/2006/relationships/hyperlink" Target="http://www.itideltadunarii.com" TargetMode="External"/><Relationship Id="rId1" Type="http://schemas.openxmlformats.org/officeDocument/2006/relationships/hyperlink" Target="mailto:office@itideltadunarii.com" TargetMode="Externa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hyperlink" Target="http://www.itideltadunarii.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ANTET%20ITI.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ANTET ITI.dotx</Template>
  <TotalTime>675</TotalTime>
  <Pages>4</Pages>
  <Words>1506</Words>
  <Characters>8590</Characters>
  <Application>Microsoft Office Word</Application>
  <DocSecurity>0</DocSecurity>
  <Lines>71</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CJ Tulcea</Company>
  <LinksUpToDate>false</LinksUpToDate>
  <CharactersWithSpaces>10076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daniel chitoi</cp:lastModifiedBy>
  <cp:revision>191</cp:revision>
  <cp:lastPrinted>2018-05-09T16:41:00Z</cp:lastPrinted>
  <dcterms:created xsi:type="dcterms:W3CDTF">2015-06-17T10:15:00Z</dcterms:created>
  <dcterms:modified xsi:type="dcterms:W3CDTF">2018-07-26T10:26:00Z</dcterms:modified>
</cp:coreProperties>
</file>